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3F5DD" w14:textId="77777777" w:rsidR="00B72257" w:rsidRDefault="00B72257"/>
    <w:p w14:paraId="3813EF5D" w14:textId="1EE316C3" w:rsidR="003C17F9" w:rsidRDefault="003C17F9" w:rsidP="003C17F9">
      <w:pPr>
        <w:pStyle w:val="Rubrik"/>
      </w:pPr>
      <w:r>
        <w:t xml:space="preserve">Delårsrapport Hello </w:t>
      </w:r>
      <w:proofErr w:type="spellStart"/>
      <w:r>
        <w:t>There</w:t>
      </w:r>
      <w:proofErr w:type="spellEnd"/>
      <w:r>
        <w:t xml:space="preserve"> Games</w:t>
      </w:r>
    </w:p>
    <w:p w14:paraId="56934D7B" w14:textId="77777777" w:rsidR="003C17F9" w:rsidRDefault="003C17F9" w:rsidP="003C17F9"/>
    <w:p w14:paraId="45F568EE" w14:textId="19383AFE" w:rsidR="003C17F9" w:rsidRDefault="003C17F9" w:rsidP="003C17F9">
      <w:r>
        <w:t xml:space="preserve">Styrelsens och VD för Hello </w:t>
      </w:r>
      <w:proofErr w:type="spellStart"/>
      <w:r>
        <w:t>There</w:t>
      </w:r>
      <w:proofErr w:type="spellEnd"/>
      <w:r>
        <w:t xml:space="preserve"> Games AB avger härmed delårsrapport för perioden 1 januari 2024 till 30 juni 2024. I och med att Hello </w:t>
      </w:r>
      <w:proofErr w:type="spellStart"/>
      <w:r>
        <w:t>There</w:t>
      </w:r>
      <w:proofErr w:type="spellEnd"/>
      <w:r>
        <w:t xml:space="preserve"> Games AB, med dotterbolag, ej är noterat så har den rapporterade perioden ej reviderats och avser endast det operativa bolaget Hello </w:t>
      </w:r>
      <w:proofErr w:type="spellStart"/>
      <w:r>
        <w:t>There</w:t>
      </w:r>
      <w:proofErr w:type="spellEnd"/>
      <w:r>
        <w:t xml:space="preserve"> AB. Moderbolaget Hello </w:t>
      </w:r>
      <w:proofErr w:type="spellStart"/>
      <w:r>
        <w:t>There</w:t>
      </w:r>
      <w:proofErr w:type="spellEnd"/>
      <w:r>
        <w:t xml:space="preserve"> Games AB samt bolaget Like A Boss AB kommenteras ej i delrapporten. </w:t>
      </w:r>
    </w:p>
    <w:p w14:paraId="7C343802" w14:textId="78CE68A6" w:rsidR="003C17F9" w:rsidRPr="003C17F9" w:rsidRDefault="003C17F9" w:rsidP="003C17F9">
      <w:pPr>
        <w:numPr>
          <w:ilvl w:val="0"/>
          <w:numId w:val="1"/>
        </w:numPr>
      </w:pPr>
      <w:r w:rsidRPr="003C17F9">
        <w:t xml:space="preserve">Omsättningen uppgick till </w:t>
      </w:r>
      <w:r w:rsidR="0050089C">
        <w:t>7 312 KSEK (5 068</w:t>
      </w:r>
      <w:r w:rsidRPr="003C17F9">
        <w:t xml:space="preserve"> </w:t>
      </w:r>
      <w:r w:rsidR="0050089C">
        <w:t>K</w:t>
      </w:r>
      <w:r w:rsidRPr="003C17F9">
        <w:t xml:space="preserve">SEK), en </w:t>
      </w:r>
      <w:r w:rsidR="0050089C">
        <w:t>ökning</w:t>
      </w:r>
      <w:r w:rsidRPr="003C17F9">
        <w:t xml:space="preserve"> med</w:t>
      </w:r>
      <w:r w:rsidR="0050089C">
        <w:t xml:space="preserve"> 2 244 </w:t>
      </w:r>
      <w:proofErr w:type="gramStart"/>
      <w:r w:rsidR="0050089C">
        <w:t>KSEK  (</w:t>
      </w:r>
      <w:proofErr w:type="gramEnd"/>
      <w:r w:rsidR="0050089C">
        <w:t>44</w:t>
      </w:r>
      <w:r w:rsidRPr="003C17F9">
        <w:t>%</w:t>
      </w:r>
      <w:r w:rsidR="0050089C">
        <w:t>)</w:t>
      </w:r>
      <w:r w:rsidRPr="003C17F9">
        <w:t xml:space="preserve"> sedan föregående år.</w:t>
      </w:r>
    </w:p>
    <w:p w14:paraId="75249EAE" w14:textId="5EE6DAE3" w:rsidR="0050089C" w:rsidRDefault="0050089C" w:rsidP="0050089C">
      <w:pPr>
        <w:numPr>
          <w:ilvl w:val="0"/>
          <w:numId w:val="1"/>
        </w:numPr>
      </w:pPr>
      <w:r>
        <w:t>Årets aktiveringar av eget arbete uppgick till 4 299 KSEK (2 495 KSEK) en ökning med 1 804 KSEK (72%) sedan föregående år.</w:t>
      </w:r>
    </w:p>
    <w:p w14:paraId="7A5590EB" w14:textId="4A7955C0" w:rsidR="003C17F9" w:rsidRPr="003C17F9" w:rsidRDefault="0050089C" w:rsidP="003C17F9">
      <w:pPr>
        <w:numPr>
          <w:ilvl w:val="0"/>
          <w:numId w:val="1"/>
        </w:numPr>
      </w:pPr>
      <w:r>
        <w:t xml:space="preserve">Resultat före avskrivningar </w:t>
      </w:r>
      <w:r w:rsidR="003C17F9" w:rsidRPr="003C17F9">
        <w:t xml:space="preserve">uppgick till </w:t>
      </w:r>
      <w:r>
        <w:t>1 103 K</w:t>
      </w:r>
      <w:r w:rsidR="003C17F9" w:rsidRPr="003C17F9">
        <w:t>SEK (</w:t>
      </w:r>
      <w:r>
        <w:t>-816</w:t>
      </w:r>
      <w:r w:rsidR="003C17F9" w:rsidRPr="003C17F9">
        <w:t xml:space="preserve"> </w:t>
      </w:r>
      <w:r>
        <w:t>K</w:t>
      </w:r>
      <w:r w:rsidR="003C17F9" w:rsidRPr="003C17F9">
        <w:t xml:space="preserve">SEK), en </w:t>
      </w:r>
      <w:r>
        <w:t>ökning 1 919 KSEK</w:t>
      </w:r>
      <w:r w:rsidR="003C17F9" w:rsidRPr="003C17F9">
        <w:t>.</w:t>
      </w:r>
    </w:p>
    <w:p w14:paraId="5A4B0259" w14:textId="1B2CF6B6" w:rsidR="00820DCF" w:rsidRPr="00820DCF" w:rsidRDefault="00820DCF" w:rsidP="00820DCF">
      <w:pPr>
        <w:pStyle w:val="Rubrik"/>
        <w:rPr>
          <w:b/>
          <w:bCs/>
          <w:sz w:val="24"/>
          <w:szCs w:val="24"/>
        </w:rPr>
      </w:pPr>
      <w:r w:rsidRPr="00820DCF">
        <w:rPr>
          <w:b/>
          <w:bCs/>
          <w:sz w:val="24"/>
          <w:szCs w:val="24"/>
        </w:rPr>
        <w:t>Väsentliga händelser under årets första 6 månader</w:t>
      </w:r>
    </w:p>
    <w:p w14:paraId="5467C353" w14:textId="60C5E282" w:rsidR="00B77836" w:rsidRDefault="00820DCF" w:rsidP="00B77836">
      <w:pPr>
        <w:pStyle w:val="Liststycke"/>
        <w:numPr>
          <w:ilvl w:val="0"/>
          <w:numId w:val="2"/>
        </w:numPr>
      </w:pPr>
      <w:r>
        <w:t xml:space="preserve">Nyemission i moderbolaget Hello </w:t>
      </w:r>
      <w:proofErr w:type="spellStart"/>
      <w:r>
        <w:t>There</w:t>
      </w:r>
      <w:proofErr w:type="spellEnd"/>
      <w:r>
        <w:t xml:space="preserve"> Games AB under februari har tillfört koncernen 20 000 KSEK. </w:t>
      </w:r>
    </w:p>
    <w:p w14:paraId="6A18127F" w14:textId="6AF21667" w:rsidR="00820DCF" w:rsidRDefault="00820DCF" w:rsidP="00820DCF">
      <w:pPr>
        <w:pStyle w:val="Liststycke"/>
        <w:numPr>
          <w:ilvl w:val="0"/>
          <w:numId w:val="2"/>
        </w:numPr>
      </w:pPr>
      <w:r>
        <w:t xml:space="preserve">Hello </w:t>
      </w:r>
      <w:proofErr w:type="spellStart"/>
      <w:r>
        <w:t>There</w:t>
      </w:r>
      <w:proofErr w:type="spellEnd"/>
      <w:r>
        <w:t xml:space="preserve"> har tecknat avtal om lansering av </w:t>
      </w:r>
      <w:proofErr w:type="spellStart"/>
      <w:r>
        <w:t>IPn</w:t>
      </w:r>
      <w:proofErr w:type="spellEnd"/>
      <w:r>
        <w:t xml:space="preserve"> för distribution via block-</w:t>
      </w:r>
      <w:proofErr w:type="spellStart"/>
      <w:r>
        <w:t>chain</w:t>
      </w:r>
      <w:proofErr w:type="spellEnd"/>
      <w:r>
        <w:t>. Detta har medfört intäkter i perioden om 2 500 KSEK.</w:t>
      </w:r>
    </w:p>
    <w:p w14:paraId="747DB9AE" w14:textId="1BF46765" w:rsidR="00B77836" w:rsidRDefault="00B77836" w:rsidP="00B77836">
      <w:pPr>
        <w:pStyle w:val="Rubrik"/>
        <w:rPr>
          <w:b/>
          <w:bCs/>
          <w:sz w:val="24"/>
          <w:szCs w:val="24"/>
        </w:rPr>
      </w:pPr>
      <w:r>
        <w:rPr>
          <w:b/>
          <w:bCs/>
          <w:sz w:val="24"/>
          <w:szCs w:val="24"/>
        </w:rPr>
        <w:t>VD:s kommentar</w:t>
      </w:r>
    </w:p>
    <w:p w14:paraId="4C683B33" w14:textId="353EA7FD" w:rsidR="00B77836" w:rsidRPr="00B77836" w:rsidRDefault="00B77836" w:rsidP="00B77836">
      <w:r>
        <w:t xml:space="preserve">Vi jobbar vidare med strategin att utveckla de egna produkterna vilket på sikt skall ge oss ett löpande positivt kassaflöde. Under perioden har vi jobbat vidare med de musikrelaterade </w:t>
      </w:r>
      <w:proofErr w:type="spellStart"/>
      <w:r>
        <w:t>IPn</w:t>
      </w:r>
      <w:proofErr w:type="spellEnd"/>
      <w:r>
        <w:t xml:space="preserve"> med fokus mer på direkt samarbete med musiker och grupper. Detta kommer ge oss ett antal intressanta lanseringar under hösten 2024. Vår nye huvudägare, Banshee Group (Grey Tower), håller på med slutförhandlingar om ett förlagsavtal med en av sina </w:t>
      </w:r>
      <w:proofErr w:type="spellStart"/>
      <w:r>
        <w:t>IPn</w:t>
      </w:r>
      <w:proofErr w:type="spellEnd"/>
      <w:r>
        <w:t xml:space="preserve">. Detta kommer, vid signering, ge bra arbete åt Hello </w:t>
      </w:r>
      <w:proofErr w:type="spellStart"/>
      <w:r>
        <w:t>There</w:t>
      </w:r>
      <w:proofErr w:type="spellEnd"/>
      <w:r>
        <w:t xml:space="preserve"> för 2024 och 2025. Vi jobbar även med att titta på samarbeten alternativt försäljning av ett antal </w:t>
      </w:r>
      <w:proofErr w:type="spellStart"/>
      <w:r>
        <w:t>IPn</w:t>
      </w:r>
      <w:proofErr w:type="spellEnd"/>
      <w:r>
        <w:t xml:space="preserve"> för att förbättra kassaflödet. </w:t>
      </w:r>
    </w:p>
    <w:p w14:paraId="45D78607" w14:textId="30ABA58A" w:rsidR="00820DCF" w:rsidRDefault="00B77836" w:rsidP="00B77836">
      <w:r>
        <w:t xml:space="preserve">Fokus ligger nu på att nå de strategiska målen om 1) positivt operativt kassaflöde 2) Vidareutveckla befintliga </w:t>
      </w:r>
      <w:proofErr w:type="spellStart"/>
      <w:r>
        <w:t>IPn</w:t>
      </w:r>
      <w:proofErr w:type="spellEnd"/>
      <w:r>
        <w:t xml:space="preserve"> och Affärer, snarare än att starta nya projekt 3) Signera ett större förlagsavtal 4) fortsatt ha </w:t>
      </w:r>
      <w:r w:rsidR="00D518D5">
        <w:t>spelsveriges</w:t>
      </w:r>
      <w:r>
        <w:t xml:space="preserve"> mest nöjda och motiverade medarbetare.</w:t>
      </w:r>
    </w:p>
    <w:p w14:paraId="03641098" w14:textId="77777777" w:rsidR="00D518D5" w:rsidRDefault="00D518D5" w:rsidP="003C17F9">
      <w:r w:rsidRPr="00D518D5">
        <w:t>Göteborg 3 september 2024,</w:t>
      </w:r>
    </w:p>
    <w:p w14:paraId="63234EA7" w14:textId="69E7F9B9" w:rsidR="00B77836" w:rsidRDefault="00B77836" w:rsidP="003C17F9">
      <w:r>
        <w:t>Oskar Eklund</w:t>
      </w:r>
    </w:p>
    <w:p w14:paraId="404D0A11" w14:textId="77777777" w:rsidR="00513D62" w:rsidRDefault="00513D62" w:rsidP="003C17F9"/>
    <w:p w14:paraId="0D464BF8" w14:textId="77777777" w:rsidR="00513D62" w:rsidRDefault="00513D62" w:rsidP="003C17F9"/>
    <w:p w14:paraId="6C0C497F" w14:textId="67DEE5E8" w:rsidR="00513D62" w:rsidRPr="00513D62" w:rsidRDefault="00513D62" w:rsidP="00D518D5">
      <w:pPr>
        <w:pStyle w:val="Rubrik"/>
      </w:pPr>
      <w:r>
        <w:rPr>
          <w:b/>
          <w:bCs/>
          <w:sz w:val="24"/>
          <w:szCs w:val="24"/>
        </w:rPr>
        <w:t xml:space="preserve">Ägarstruktur Hello </w:t>
      </w:r>
      <w:proofErr w:type="spellStart"/>
      <w:r>
        <w:rPr>
          <w:b/>
          <w:bCs/>
          <w:sz w:val="24"/>
          <w:szCs w:val="24"/>
        </w:rPr>
        <w:t>There</w:t>
      </w:r>
      <w:proofErr w:type="spellEnd"/>
      <w:r>
        <w:rPr>
          <w:b/>
          <w:bCs/>
          <w:sz w:val="24"/>
          <w:szCs w:val="24"/>
        </w:rPr>
        <w:t xml:space="preserve"> Games per 28 juni </w:t>
      </w:r>
      <w:proofErr w:type="gramStart"/>
      <w:r>
        <w:rPr>
          <w:b/>
          <w:bCs/>
          <w:sz w:val="24"/>
          <w:szCs w:val="24"/>
        </w:rPr>
        <w:t>2024  -</w:t>
      </w:r>
      <w:proofErr w:type="gramEnd"/>
      <w:r>
        <w:rPr>
          <w:b/>
          <w:bCs/>
          <w:sz w:val="24"/>
          <w:szCs w:val="24"/>
        </w:rPr>
        <w:t xml:space="preserve"> topp 10 ägare </w:t>
      </w:r>
      <w:r w:rsidRPr="00513D62">
        <w:tab/>
      </w:r>
      <w:r w:rsidRPr="00513D62">
        <w:tab/>
      </w:r>
      <w:r w:rsidRPr="00513D62">
        <w:tab/>
      </w:r>
    </w:p>
    <w:p w14:paraId="2E6C8194" w14:textId="7BBF6E2E" w:rsidR="00513D62" w:rsidRPr="00513D62" w:rsidRDefault="00513D62" w:rsidP="00513D62">
      <w:r w:rsidRPr="00513D62">
        <w:tab/>
      </w:r>
      <w:r w:rsidRPr="00513D62">
        <w:tab/>
      </w:r>
    </w:p>
    <w:tbl>
      <w:tblPr>
        <w:tblStyle w:val="Tabellrutnt"/>
        <w:tblpPr w:leftFromText="141" w:rightFromText="141" w:vertAnchor="text" w:horzAnchor="margin" w:tblpY="973"/>
        <w:tblW w:w="0" w:type="auto"/>
        <w:tblLook w:val="04A0" w:firstRow="1" w:lastRow="0" w:firstColumn="1" w:lastColumn="0" w:noHBand="0" w:noVBand="1"/>
      </w:tblPr>
      <w:tblGrid>
        <w:gridCol w:w="5524"/>
        <w:gridCol w:w="1559"/>
        <w:gridCol w:w="1979"/>
      </w:tblGrid>
      <w:tr w:rsidR="0035655A" w14:paraId="70EB7632" w14:textId="77777777" w:rsidTr="00BC3C5A">
        <w:tc>
          <w:tcPr>
            <w:tcW w:w="5524" w:type="dxa"/>
          </w:tcPr>
          <w:p w14:paraId="255C9C13" w14:textId="3ED4FE6B" w:rsidR="0035655A" w:rsidRDefault="0035655A" w:rsidP="0035655A">
            <w:r w:rsidRPr="00513D62">
              <w:rPr>
                <w:b/>
                <w:bCs/>
              </w:rPr>
              <w:t>Ägare</w:t>
            </w:r>
          </w:p>
        </w:tc>
        <w:tc>
          <w:tcPr>
            <w:tcW w:w="1559" w:type="dxa"/>
          </w:tcPr>
          <w:p w14:paraId="6CDC4A22" w14:textId="223C38BE" w:rsidR="0035655A" w:rsidRDefault="0035655A" w:rsidP="0035655A">
            <w:r w:rsidRPr="00513D62">
              <w:rPr>
                <w:b/>
                <w:bCs/>
              </w:rPr>
              <w:t>Ägarandel </w:t>
            </w:r>
          </w:p>
        </w:tc>
        <w:tc>
          <w:tcPr>
            <w:tcW w:w="1979" w:type="dxa"/>
          </w:tcPr>
          <w:p w14:paraId="5A14F442" w14:textId="0B595BE0" w:rsidR="0035655A" w:rsidRDefault="0035655A" w:rsidP="0035655A">
            <w:r w:rsidRPr="00513D62">
              <w:rPr>
                <w:b/>
                <w:bCs/>
              </w:rPr>
              <w:t>Antal aktier</w:t>
            </w:r>
          </w:p>
        </w:tc>
      </w:tr>
      <w:tr w:rsidR="0035655A" w14:paraId="26EBE97A" w14:textId="77777777" w:rsidTr="00BC3C5A">
        <w:tc>
          <w:tcPr>
            <w:tcW w:w="5524" w:type="dxa"/>
          </w:tcPr>
          <w:p w14:paraId="14223D6D" w14:textId="3EC8B211" w:rsidR="0035655A" w:rsidRDefault="0035655A" w:rsidP="0035655A">
            <w:r w:rsidRPr="00513D62">
              <w:t>Grey Tower AB</w:t>
            </w:r>
          </w:p>
        </w:tc>
        <w:tc>
          <w:tcPr>
            <w:tcW w:w="1559" w:type="dxa"/>
          </w:tcPr>
          <w:p w14:paraId="009B2963" w14:textId="2FBDFABF" w:rsidR="0035655A" w:rsidRDefault="006D5104" w:rsidP="006D5104">
            <w:r>
              <w:t xml:space="preserve">  </w:t>
            </w:r>
            <w:r w:rsidR="0035655A" w:rsidRPr="00513D62">
              <w:t>55,05%</w:t>
            </w:r>
          </w:p>
        </w:tc>
        <w:tc>
          <w:tcPr>
            <w:tcW w:w="1979" w:type="dxa"/>
          </w:tcPr>
          <w:p w14:paraId="5B8F6393" w14:textId="1CBFEC89" w:rsidR="0035655A" w:rsidRDefault="006D5104" w:rsidP="0035655A">
            <w:r>
              <w:t xml:space="preserve">  </w:t>
            </w:r>
            <w:r w:rsidR="0035655A" w:rsidRPr="00513D62">
              <w:t>1 095</w:t>
            </w:r>
            <w:r w:rsidR="0035655A">
              <w:t> </w:t>
            </w:r>
            <w:r w:rsidR="0035655A" w:rsidRPr="00513D62">
              <w:t>439</w:t>
            </w:r>
            <w:r w:rsidR="0035655A" w:rsidRPr="00513D62">
              <w:tab/>
            </w:r>
          </w:p>
        </w:tc>
      </w:tr>
      <w:tr w:rsidR="0035655A" w14:paraId="2EBE3935" w14:textId="77777777" w:rsidTr="00BC3C5A">
        <w:tc>
          <w:tcPr>
            <w:tcW w:w="5524" w:type="dxa"/>
          </w:tcPr>
          <w:p w14:paraId="4368C1EA" w14:textId="65BB52F8" w:rsidR="0035655A" w:rsidRDefault="0035655A" w:rsidP="0035655A">
            <w:proofErr w:type="spellStart"/>
            <w:r w:rsidRPr="00513D62">
              <w:t>eBlitz</w:t>
            </w:r>
            <w:proofErr w:type="spellEnd"/>
            <w:r w:rsidRPr="00513D62">
              <w:t xml:space="preserve"> Group</w:t>
            </w:r>
          </w:p>
        </w:tc>
        <w:tc>
          <w:tcPr>
            <w:tcW w:w="1559" w:type="dxa"/>
          </w:tcPr>
          <w:p w14:paraId="24E40A9F" w14:textId="1ACBC6B9" w:rsidR="0035655A" w:rsidRDefault="006D5104" w:rsidP="006D5104">
            <w:r>
              <w:t xml:space="preserve">   </w:t>
            </w:r>
            <w:r w:rsidR="0035655A" w:rsidRPr="00513D62">
              <w:t>7,69%</w:t>
            </w:r>
          </w:p>
        </w:tc>
        <w:tc>
          <w:tcPr>
            <w:tcW w:w="1979" w:type="dxa"/>
          </w:tcPr>
          <w:p w14:paraId="5B783CB8" w14:textId="321AD6E9" w:rsidR="0035655A" w:rsidRDefault="00BC3C5A" w:rsidP="0035655A">
            <w:r>
              <w:t xml:space="preserve">   </w:t>
            </w:r>
            <w:r w:rsidR="006D5104">
              <w:t xml:space="preserve">   </w:t>
            </w:r>
            <w:r w:rsidR="0035655A" w:rsidRPr="00513D62">
              <w:t>153 000</w:t>
            </w:r>
          </w:p>
        </w:tc>
      </w:tr>
      <w:tr w:rsidR="0035655A" w14:paraId="5634E227" w14:textId="77777777" w:rsidTr="00BC3C5A">
        <w:tc>
          <w:tcPr>
            <w:tcW w:w="5524" w:type="dxa"/>
          </w:tcPr>
          <w:p w14:paraId="52A58257" w14:textId="17E4D86B" w:rsidR="0035655A" w:rsidRDefault="0035655A" w:rsidP="0035655A">
            <w:proofErr w:type="spellStart"/>
            <w:r w:rsidRPr="00513D62">
              <w:t>Advenimus</w:t>
            </w:r>
            <w:proofErr w:type="spellEnd"/>
            <w:r w:rsidRPr="00513D62">
              <w:t xml:space="preserve"> AB</w:t>
            </w:r>
          </w:p>
        </w:tc>
        <w:tc>
          <w:tcPr>
            <w:tcW w:w="1559" w:type="dxa"/>
          </w:tcPr>
          <w:p w14:paraId="32862683" w14:textId="169374FC" w:rsidR="0035655A" w:rsidRDefault="006D5104" w:rsidP="006D5104">
            <w:r>
              <w:t xml:space="preserve">   </w:t>
            </w:r>
            <w:r w:rsidR="0035655A" w:rsidRPr="00513D62">
              <w:t>6,17%</w:t>
            </w:r>
          </w:p>
        </w:tc>
        <w:tc>
          <w:tcPr>
            <w:tcW w:w="1979" w:type="dxa"/>
          </w:tcPr>
          <w:p w14:paraId="5F804070" w14:textId="5A7D7521" w:rsidR="0035655A" w:rsidRDefault="00BC3C5A" w:rsidP="0035655A">
            <w:r>
              <w:t xml:space="preserve">   </w:t>
            </w:r>
            <w:r w:rsidR="006D5104">
              <w:t xml:space="preserve">   </w:t>
            </w:r>
            <w:r w:rsidR="0035655A" w:rsidRPr="00513D62">
              <w:t>122 856</w:t>
            </w:r>
          </w:p>
        </w:tc>
      </w:tr>
      <w:tr w:rsidR="0035655A" w14:paraId="63E15B11" w14:textId="77777777" w:rsidTr="00BC3C5A">
        <w:tc>
          <w:tcPr>
            <w:tcW w:w="5524" w:type="dxa"/>
          </w:tcPr>
          <w:p w14:paraId="45D4C75D" w14:textId="0E1BC0F6" w:rsidR="0035655A" w:rsidRDefault="00BC3C5A" w:rsidP="0035655A">
            <w:proofErr w:type="spellStart"/>
            <w:r w:rsidRPr="00BC3C5A">
              <w:t>Scientific</w:t>
            </w:r>
            <w:proofErr w:type="spellEnd"/>
            <w:r w:rsidRPr="00BC3C5A">
              <w:t xml:space="preserve"> Solutions Scandinavia Holding AB</w:t>
            </w:r>
          </w:p>
        </w:tc>
        <w:tc>
          <w:tcPr>
            <w:tcW w:w="1559" w:type="dxa"/>
          </w:tcPr>
          <w:p w14:paraId="0EF1026C" w14:textId="31FBAFDB" w:rsidR="0035655A" w:rsidRDefault="006D5104" w:rsidP="006D5104">
            <w:r>
              <w:t xml:space="preserve">   </w:t>
            </w:r>
            <w:r w:rsidR="0035655A" w:rsidRPr="00513D62">
              <w:t>5,20%</w:t>
            </w:r>
          </w:p>
        </w:tc>
        <w:tc>
          <w:tcPr>
            <w:tcW w:w="1979" w:type="dxa"/>
          </w:tcPr>
          <w:p w14:paraId="4EF68F39" w14:textId="4B471B1E" w:rsidR="0035655A" w:rsidRDefault="00BC3C5A" w:rsidP="0035655A">
            <w:r>
              <w:t xml:space="preserve">   </w:t>
            </w:r>
            <w:r w:rsidR="006D5104">
              <w:t xml:space="preserve">   </w:t>
            </w:r>
            <w:r w:rsidR="0035655A" w:rsidRPr="00513D62">
              <w:t>103</w:t>
            </w:r>
            <w:r>
              <w:t xml:space="preserve"> </w:t>
            </w:r>
            <w:r w:rsidR="0035655A" w:rsidRPr="00513D62">
              <w:t>377</w:t>
            </w:r>
            <w:r w:rsidR="0035655A" w:rsidRPr="00513D62">
              <w:tab/>
            </w:r>
          </w:p>
        </w:tc>
      </w:tr>
      <w:tr w:rsidR="0035655A" w14:paraId="648DA669" w14:textId="77777777" w:rsidTr="00BC3C5A">
        <w:tc>
          <w:tcPr>
            <w:tcW w:w="5524" w:type="dxa"/>
          </w:tcPr>
          <w:p w14:paraId="576F8174" w14:textId="1790E576" w:rsidR="0035655A" w:rsidRDefault="0035655A" w:rsidP="0035655A">
            <w:proofErr w:type="spellStart"/>
            <w:r w:rsidRPr="00513D62">
              <w:t>Nanohunter</w:t>
            </w:r>
            <w:proofErr w:type="spellEnd"/>
            <w:r w:rsidRPr="00513D62">
              <w:t xml:space="preserve"> </w:t>
            </w:r>
            <w:r w:rsidRPr="00513D62">
              <w:tab/>
            </w:r>
          </w:p>
        </w:tc>
        <w:tc>
          <w:tcPr>
            <w:tcW w:w="1559" w:type="dxa"/>
          </w:tcPr>
          <w:p w14:paraId="6BC616A8" w14:textId="1F9622E7" w:rsidR="0035655A" w:rsidRDefault="006D5104" w:rsidP="006D5104">
            <w:r>
              <w:t xml:space="preserve">   </w:t>
            </w:r>
            <w:r w:rsidR="0035655A" w:rsidRPr="00513D62">
              <w:t>3,65%</w:t>
            </w:r>
          </w:p>
        </w:tc>
        <w:tc>
          <w:tcPr>
            <w:tcW w:w="1979" w:type="dxa"/>
          </w:tcPr>
          <w:p w14:paraId="29600ADE" w14:textId="499F87CD" w:rsidR="0035655A" w:rsidRDefault="00BC3C5A" w:rsidP="0035655A">
            <w:r>
              <w:t xml:space="preserve">     </w:t>
            </w:r>
            <w:r w:rsidR="006D5104">
              <w:t xml:space="preserve">    </w:t>
            </w:r>
            <w:r w:rsidR="0035655A" w:rsidRPr="00513D62">
              <w:t>72 601</w:t>
            </w:r>
          </w:p>
        </w:tc>
      </w:tr>
      <w:tr w:rsidR="0035655A" w14:paraId="43FBFB57" w14:textId="77777777" w:rsidTr="00BC3C5A">
        <w:tc>
          <w:tcPr>
            <w:tcW w:w="5524" w:type="dxa"/>
          </w:tcPr>
          <w:p w14:paraId="2935FA17" w14:textId="10FA0FBB" w:rsidR="0035655A" w:rsidRDefault="0035655A" w:rsidP="0035655A">
            <w:r w:rsidRPr="00513D62">
              <w:t>Jimmy Jönsson</w:t>
            </w:r>
          </w:p>
        </w:tc>
        <w:tc>
          <w:tcPr>
            <w:tcW w:w="1559" w:type="dxa"/>
          </w:tcPr>
          <w:p w14:paraId="16C80612" w14:textId="5DC5B030" w:rsidR="0035655A" w:rsidRDefault="006D5104" w:rsidP="006D5104">
            <w:r>
              <w:t xml:space="preserve">   </w:t>
            </w:r>
            <w:r w:rsidR="0035655A" w:rsidRPr="00513D62">
              <w:t>3,28%</w:t>
            </w:r>
          </w:p>
        </w:tc>
        <w:tc>
          <w:tcPr>
            <w:tcW w:w="1979" w:type="dxa"/>
          </w:tcPr>
          <w:p w14:paraId="129D9F7B" w14:textId="486D03A8" w:rsidR="0035655A" w:rsidRDefault="00BC3C5A" w:rsidP="0035655A">
            <w:r>
              <w:t xml:space="preserve">     </w:t>
            </w:r>
            <w:r w:rsidR="006D5104">
              <w:t xml:space="preserve">    </w:t>
            </w:r>
            <w:r w:rsidR="0035655A" w:rsidRPr="00513D62">
              <w:t>65 261</w:t>
            </w:r>
          </w:p>
        </w:tc>
      </w:tr>
      <w:tr w:rsidR="0035655A" w14:paraId="35C6E965" w14:textId="77777777" w:rsidTr="00BC3C5A">
        <w:tc>
          <w:tcPr>
            <w:tcW w:w="5524" w:type="dxa"/>
          </w:tcPr>
          <w:p w14:paraId="34E60149" w14:textId="4BA978A9" w:rsidR="0035655A" w:rsidRDefault="0035655A" w:rsidP="0035655A">
            <w:proofErr w:type="spellStart"/>
            <w:r w:rsidRPr="00513D62">
              <w:t>Hexamo</w:t>
            </w:r>
            <w:proofErr w:type="spellEnd"/>
            <w:r w:rsidRPr="00513D62">
              <w:t xml:space="preserve"> AB </w:t>
            </w:r>
            <w:r w:rsidRPr="00513D62">
              <w:tab/>
            </w:r>
          </w:p>
        </w:tc>
        <w:tc>
          <w:tcPr>
            <w:tcW w:w="1559" w:type="dxa"/>
          </w:tcPr>
          <w:p w14:paraId="76CC2EB3" w14:textId="04050B17" w:rsidR="0035655A" w:rsidRDefault="006D5104" w:rsidP="006D5104">
            <w:r>
              <w:t xml:space="preserve">   </w:t>
            </w:r>
            <w:r w:rsidR="0035655A" w:rsidRPr="00513D62">
              <w:t>2,69%</w:t>
            </w:r>
          </w:p>
        </w:tc>
        <w:tc>
          <w:tcPr>
            <w:tcW w:w="1979" w:type="dxa"/>
          </w:tcPr>
          <w:p w14:paraId="1228796C" w14:textId="69635ED1" w:rsidR="0035655A" w:rsidRDefault="00BC3C5A" w:rsidP="0035655A">
            <w:r>
              <w:t xml:space="preserve">     </w:t>
            </w:r>
            <w:r w:rsidR="006D5104">
              <w:t xml:space="preserve">    </w:t>
            </w:r>
            <w:r w:rsidR="0035655A" w:rsidRPr="00513D62">
              <w:t>53 570</w:t>
            </w:r>
          </w:p>
        </w:tc>
      </w:tr>
      <w:tr w:rsidR="0035655A" w14:paraId="364F50FE" w14:textId="77777777" w:rsidTr="00BC3C5A">
        <w:tc>
          <w:tcPr>
            <w:tcW w:w="5524" w:type="dxa"/>
          </w:tcPr>
          <w:p w14:paraId="6C880619" w14:textId="6DBB8D80" w:rsidR="0035655A" w:rsidRDefault="0035655A" w:rsidP="0035655A">
            <w:proofErr w:type="spellStart"/>
            <w:r w:rsidRPr="00513D62">
              <w:t>Alpcot</w:t>
            </w:r>
            <w:proofErr w:type="spellEnd"/>
            <w:r w:rsidRPr="00513D62">
              <w:t xml:space="preserve"> AB </w:t>
            </w:r>
            <w:r w:rsidRPr="00513D62">
              <w:tab/>
            </w:r>
          </w:p>
        </w:tc>
        <w:tc>
          <w:tcPr>
            <w:tcW w:w="1559" w:type="dxa"/>
          </w:tcPr>
          <w:p w14:paraId="395EDC34" w14:textId="5087292D" w:rsidR="0035655A" w:rsidRDefault="006D5104" w:rsidP="006D5104">
            <w:r>
              <w:t xml:space="preserve">   </w:t>
            </w:r>
            <w:r w:rsidR="0035655A" w:rsidRPr="00513D62">
              <w:t>2,59%</w:t>
            </w:r>
          </w:p>
        </w:tc>
        <w:tc>
          <w:tcPr>
            <w:tcW w:w="1979" w:type="dxa"/>
          </w:tcPr>
          <w:p w14:paraId="073278C2" w14:textId="5FB4AB8B" w:rsidR="0035655A" w:rsidRDefault="00BC3C5A" w:rsidP="0035655A">
            <w:r>
              <w:t xml:space="preserve">     </w:t>
            </w:r>
            <w:r w:rsidR="006D5104">
              <w:t xml:space="preserve">    </w:t>
            </w:r>
            <w:r w:rsidR="0035655A" w:rsidRPr="00513D62">
              <w:t>51 561</w:t>
            </w:r>
          </w:p>
        </w:tc>
      </w:tr>
      <w:tr w:rsidR="0035655A" w14:paraId="20D952BA" w14:textId="77777777" w:rsidTr="00BC3C5A">
        <w:tc>
          <w:tcPr>
            <w:tcW w:w="5524" w:type="dxa"/>
          </w:tcPr>
          <w:p w14:paraId="03BBA412" w14:textId="36D78383" w:rsidR="0035655A" w:rsidRDefault="0035655A" w:rsidP="0035655A">
            <w:r w:rsidRPr="00513D62">
              <w:t xml:space="preserve">Full Range </w:t>
            </w:r>
            <w:proofErr w:type="spellStart"/>
            <w:r w:rsidRPr="00513D62">
              <w:t>Invest</w:t>
            </w:r>
            <w:proofErr w:type="spellEnd"/>
          </w:p>
        </w:tc>
        <w:tc>
          <w:tcPr>
            <w:tcW w:w="1559" w:type="dxa"/>
          </w:tcPr>
          <w:p w14:paraId="5091E915" w14:textId="6C43898C" w:rsidR="0035655A" w:rsidRDefault="006D5104" w:rsidP="006D5104">
            <w:r>
              <w:t xml:space="preserve">   </w:t>
            </w:r>
            <w:r w:rsidR="0035655A" w:rsidRPr="00513D62">
              <w:t>2,51%</w:t>
            </w:r>
          </w:p>
        </w:tc>
        <w:tc>
          <w:tcPr>
            <w:tcW w:w="1979" w:type="dxa"/>
          </w:tcPr>
          <w:p w14:paraId="08A79A5B" w14:textId="35DA5FB8" w:rsidR="0035655A" w:rsidRDefault="00BC3C5A" w:rsidP="0035655A">
            <w:r>
              <w:t xml:space="preserve">     </w:t>
            </w:r>
            <w:r w:rsidR="006D5104">
              <w:t xml:space="preserve">    </w:t>
            </w:r>
            <w:r w:rsidR="0035655A" w:rsidRPr="00513D62">
              <w:t>50</w:t>
            </w:r>
            <w:r w:rsidR="0035655A">
              <w:t> </w:t>
            </w:r>
            <w:r w:rsidR="0035655A" w:rsidRPr="00513D62">
              <w:t>000</w:t>
            </w:r>
            <w:r w:rsidR="0035655A" w:rsidRPr="00513D62">
              <w:tab/>
            </w:r>
          </w:p>
        </w:tc>
      </w:tr>
      <w:tr w:rsidR="0035655A" w14:paraId="4BDBF2F4" w14:textId="77777777" w:rsidTr="00BC3C5A">
        <w:tc>
          <w:tcPr>
            <w:tcW w:w="5524" w:type="dxa"/>
          </w:tcPr>
          <w:p w14:paraId="3E2BFE08" w14:textId="77EAB826" w:rsidR="0035655A" w:rsidRPr="00513D62" w:rsidRDefault="0035655A" w:rsidP="0035655A">
            <w:proofErr w:type="spellStart"/>
            <w:r w:rsidRPr="00513D62">
              <w:t>Reveal</w:t>
            </w:r>
            <w:proofErr w:type="spellEnd"/>
            <w:r w:rsidRPr="00513D62">
              <w:t xml:space="preserve"> AB </w:t>
            </w:r>
            <w:r w:rsidRPr="00513D62">
              <w:tab/>
            </w:r>
          </w:p>
        </w:tc>
        <w:tc>
          <w:tcPr>
            <w:tcW w:w="1559" w:type="dxa"/>
          </w:tcPr>
          <w:p w14:paraId="38BD402A" w14:textId="7600B6C5" w:rsidR="0035655A" w:rsidRPr="00513D62" w:rsidRDefault="006D5104" w:rsidP="006D5104">
            <w:r>
              <w:t xml:space="preserve">   </w:t>
            </w:r>
            <w:r w:rsidR="0035655A" w:rsidRPr="00513D62">
              <w:t>2,03%</w:t>
            </w:r>
          </w:p>
        </w:tc>
        <w:tc>
          <w:tcPr>
            <w:tcW w:w="1979" w:type="dxa"/>
          </w:tcPr>
          <w:p w14:paraId="4F535B21" w14:textId="34ABA6D9" w:rsidR="0035655A" w:rsidRPr="00513D62" w:rsidRDefault="00BC3C5A" w:rsidP="0035655A">
            <w:r>
              <w:t xml:space="preserve">     </w:t>
            </w:r>
            <w:r w:rsidR="006D5104">
              <w:t xml:space="preserve">    </w:t>
            </w:r>
            <w:r w:rsidR="0035655A" w:rsidRPr="00513D62">
              <w:t>40</w:t>
            </w:r>
            <w:r w:rsidR="0035655A">
              <w:t> </w:t>
            </w:r>
            <w:r w:rsidR="0035655A" w:rsidRPr="00513D62">
              <w:t>375</w:t>
            </w:r>
            <w:r w:rsidR="0035655A" w:rsidRPr="00513D62">
              <w:tab/>
            </w:r>
          </w:p>
        </w:tc>
      </w:tr>
      <w:tr w:rsidR="0035655A" w14:paraId="33380E09" w14:textId="77777777" w:rsidTr="00BC3C5A">
        <w:tc>
          <w:tcPr>
            <w:tcW w:w="5524" w:type="dxa"/>
          </w:tcPr>
          <w:p w14:paraId="7EAC2697" w14:textId="133BED97" w:rsidR="0035655A" w:rsidRPr="00513D62" w:rsidRDefault="0035655A" w:rsidP="0035655A">
            <w:r>
              <w:t xml:space="preserve">Övriga ägare </w:t>
            </w:r>
          </w:p>
        </w:tc>
        <w:tc>
          <w:tcPr>
            <w:tcW w:w="1559" w:type="dxa"/>
          </w:tcPr>
          <w:p w14:paraId="2D516325" w14:textId="14708799" w:rsidR="0035655A" w:rsidRPr="00513D62" w:rsidRDefault="006D5104" w:rsidP="006D5104">
            <w:r>
              <w:t xml:space="preserve">   </w:t>
            </w:r>
            <w:r w:rsidR="00942C38">
              <w:t>9,14%</w:t>
            </w:r>
          </w:p>
        </w:tc>
        <w:tc>
          <w:tcPr>
            <w:tcW w:w="1979" w:type="dxa"/>
          </w:tcPr>
          <w:p w14:paraId="265558B0" w14:textId="775D0BA3" w:rsidR="0035655A" w:rsidRPr="00513D62" w:rsidRDefault="00BC3C5A" w:rsidP="00942C38">
            <w:r>
              <w:t xml:space="preserve">   </w:t>
            </w:r>
            <w:r w:rsidR="006D5104">
              <w:t xml:space="preserve">   </w:t>
            </w:r>
            <w:r w:rsidR="00942C38">
              <w:t>181 869</w:t>
            </w:r>
          </w:p>
        </w:tc>
      </w:tr>
      <w:tr w:rsidR="00942C38" w14:paraId="69AEF2CD" w14:textId="77777777" w:rsidTr="00BC3C5A">
        <w:tc>
          <w:tcPr>
            <w:tcW w:w="5524" w:type="dxa"/>
          </w:tcPr>
          <w:p w14:paraId="34FC412D" w14:textId="77777777" w:rsidR="00942C38" w:rsidRDefault="00942C38" w:rsidP="0035655A"/>
        </w:tc>
        <w:tc>
          <w:tcPr>
            <w:tcW w:w="1559" w:type="dxa"/>
          </w:tcPr>
          <w:p w14:paraId="4C5D2800" w14:textId="77777777" w:rsidR="00942C38" w:rsidRDefault="00942C38" w:rsidP="006D5104"/>
        </w:tc>
        <w:tc>
          <w:tcPr>
            <w:tcW w:w="1979" w:type="dxa"/>
          </w:tcPr>
          <w:p w14:paraId="2CD45ADF" w14:textId="77777777" w:rsidR="00942C38" w:rsidRDefault="00942C38" w:rsidP="00942C38"/>
        </w:tc>
      </w:tr>
      <w:tr w:rsidR="0035655A" w14:paraId="7CD6C0B9" w14:textId="77777777" w:rsidTr="00BC3C5A">
        <w:tc>
          <w:tcPr>
            <w:tcW w:w="5524" w:type="dxa"/>
          </w:tcPr>
          <w:p w14:paraId="553D9BAC" w14:textId="4D1A9DDF" w:rsidR="0035655A" w:rsidRPr="00513D62" w:rsidRDefault="0035655A" w:rsidP="0035655A">
            <w:r>
              <w:t xml:space="preserve">Totalt antal aktier i bolaget </w:t>
            </w:r>
          </w:p>
        </w:tc>
        <w:tc>
          <w:tcPr>
            <w:tcW w:w="1559" w:type="dxa"/>
          </w:tcPr>
          <w:p w14:paraId="3789E6A2" w14:textId="43281F51" w:rsidR="0035655A" w:rsidRPr="00513D62" w:rsidRDefault="006D5104" w:rsidP="006D5104">
            <w:r>
              <w:t xml:space="preserve">  </w:t>
            </w:r>
            <w:r w:rsidR="00942C38">
              <w:t>100%</w:t>
            </w:r>
          </w:p>
        </w:tc>
        <w:tc>
          <w:tcPr>
            <w:tcW w:w="1979" w:type="dxa"/>
          </w:tcPr>
          <w:p w14:paraId="4061A3D4" w14:textId="47945411" w:rsidR="0035655A" w:rsidRPr="00513D62" w:rsidRDefault="006D5104" w:rsidP="0035655A">
            <w:r>
              <w:t xml:space="preserve">   </w:t>
            </w:r>
            <w:r w:rsidR="00942C38">
              <w:t>1 989 909</w:t>
            </w:r>
          </w:p>
        </w:tc>
      </w:tr>
    </w:tbl>
    <w:p w14:paraId="2B66EA26" w14:textId="63329FFE" w:rsidR="00513D62" w:rsidRDefault="00513D62" w:rsidP="00513D62">
      <w:r w:rsidRPr="00513D62">
        <w:tab/>
      </w:r>
    </w:p>
    <w:p w14:paraId="5A0C68BC" w14:textId="77777777" w:rsidR="0035655A" w:rsidRDefault="0035655A" w:rsidP="00513D62"/>
    <w:p w14:paraId="283EF9F2" w14:textId="77777777" w:rsidR="00942C38" w:rsidRDefault="00942C38" w:rsidP="00513D62"/>
    <w:p w14:paraId="1090771B" w14:textId="77777777" w:rsidR="0035655A" w:rsidRDefault="0035655A" w:rsidP="00513D62"/>
    <w:p w14:paraId="6FB5CD44" w14:textId="77777777" w:rsidR="0035655A" w:rsidRPr="003C17F9" w:rsidRDefault="0035655A" w:rsidP="00513D62"/>
    <w:sectPr w:rsidR="0035655A" w:rsidRPr="003C17F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BB214" w14:textId="77777777" w:rsidR="00781980" w:rsidRDefault="00781980" w:rsidP="00B72257">
      <w:pPr>
        <w:spacing w:after="0" w:line="240" w:lineRule="auto"/>
      </w:pPr>
      <w:r>
        <w:separator/>
      </w:r>
    </w:p>
  </w:endnote>
  <w:endnote w:type="continuationSeparator" w:id="0">
    <w:p w14:paraId="0B4A3B5B" w14:textId="77777777" w:rsidR="00781980" w:rsidRDefault="00781980" w:rsidP="00B72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5D92F" w14:textId="77777777" w:rsidR="00781980" w:rsidRDefault="00781980" w:rsidP="00B72257">
      <w:pPr>
        <w:spacing w:after="0" w:line="240" w:lineRule="auto"/>
      </w:pPr>
      <w:r>
        <w:separator/>
      </w:r>
    </w:p>
  </w:footnote>
  <w:footnote w:type="continuationSeparator" w:id="0">
    <w:p w14:paraId="10D94025" w14:textId="77777777" w:rsidR="00781980" w:rsidRDefault="00781980" w:rsidP="00B72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2F04B" w14:textId="0C72C65C" w:rsidR="00B72257" w:rsidRDefault="003C17F9">
    <w:pPr>
      <w:pStyle w:val="Sidhuvud"/>
    </w:pPr>
    <w:r>
      <w:rPr>
        <w:noProof/>
      </w:rPr>
      <mc:AlternateContent>
        <mc:Choice Requires="wps">
          <w:drawing>
            <wp:anchor distT="0" distB="0" distL="114300" distR="114300" simplePos="0" relativeHeight="251659264" behindDoc="0" locked="0" layoutInCell="1" allowOverlap="1" wp14:anchorId="23183FF5" wp14:editId="77F7B17A">
              <wp:simplePos x="0" y="0"/>
              <wp:positionH relativeFrom="column">
                <wp:posOffset>-128696</wp:posOffset>
              </wp:positionH>
              <wp:positionV relativeFrom="paragraph">
                <wp:posOffset>-374517</wp:posOffset>
              </wp:positionV>
              <wp:extent cx="6223000" cy="887104"/>
              <wp:effectExtent l="0" t="0" r="25400" b="27305"/>
              <wp:wrapNone/>
              <wp:docPr id="266224118" name="Rektangel 2"/>
              <wp:cNvGraphicFramePr/>
              <a:graphic xmlns:a="http://schemas.openxmlformats.org/drawingml/2006/main">
                <a:graphicData uri="http://schemas.microsoft.com/office/word/2010/wordprocessingShape">
                  <wps:wsp>
                    <wps:cNvSpPr/>
                    <wps:spPr>
                      <a:xfrm>
                        <a:off x="0" y="0"/>
                        <a:ext cx="6223000" cy="887104"/>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A6AAF5" id="Rektangel 2" o:spid="_x0000_s1026" style="position:absolute;margin-left:-10.15pt;margin-top:-29.5pt;width:490pt;height:69.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" fillcolor="black [3200]" strokecolor="black [480]" strokeweight="1pt"/>
          </w:pict>
        </mc:Fallback>
      </mc:AlternateContent>
    </w:r>
    <w:r>
      <w:rPr>
        <w:noProof/>
      </w:rPr>
      <w:drawing>
        <wp:anchor distT="0" distB="0" distL="114300" distR="114300" simplePos="0" relativeHeight="251660288" behindDoc="0" locked="0" layoutInCell="1" allowOverlap="1" wp14:anchorId="206F3487" wp14:editId="1AC3BB29">
          <wp:simplePos x="0" y="0"/>
          <wp:positionH relativeFrom="column">
            <wp:posOffset>-135843</wp:posOffset>
          </wp:positionH>
          <wp:positionV relativeFrom="paragraph">
            <wp:posOffset>-361030</wp:posOffset>
          </wp:positionV>
          <wp:extent cx="805488" cy="805488"/>
          <wp:effectExtent l="0" t="0" r="0" b="0"/>
          <wp:wrapNone/>
          <wp:docPr id="2" name="Bildobjekt 1">
            <a:extLst xmlns:a="http://schemas.openxmlformats.org/drawingml/2006/main">
              <a:ext uri="{FF2B5EF4-FFF2-40B4-BE49-F238E27FC236}">
                <a16:creationId xmlns:a16="http://schemas.microsoft.com/office/drawing/2014/main" id="{03E01D79-3917-4CE5-9333-ED74D66B31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a:extLst>
                      <a:ext uri="{FF2B5EF4-FFF2-40B4-BE49-F238E27FC236}">
                        <a16:creationId xmlns:a16="http://schemas.microsoft.com/office/drawing/2014/main" id="{03E01D79-3917-4CE5-9333-ED74D66B31E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5488" cy="8054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26199"/>
    <w:multiLevelType w:val="multilevel"/>
    <w:tmpl w:val="0FE6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74451"/>
    <w:multiLevelType w:val="hybridMultilevel"/>
    <w:tmpl w:val="54BE7F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07549335">
    <w:abstractNumId w:val="0"/>
  </w:num>
  <w:num w:numId="2" w16cid:durableId="1621917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57"/>
    <w:rsid w:val="00271D6C"/>
    <w:rsid w:val="0035655A"/>
    <w:rsid w:val="003706A1"/>
    <w:rsid w:val="00377762"/>
    <w:rsid w:val="003C17F9"/>
    <w:rsid w:val="00433367"/>
    <w:rsid w:val="004F467B"/>
    <w:rsid w:val="0050089C"/>
    <w:rsid w:val="00513D62"/>
    <w:rsid w:val="00621AE5"/>
    <w:rsid w:val="006D5104"/>
    <w:rsid w:val="00731533"/>
    <w:rsid w:val="0075141A"/>
    <w:rsid w:val="00781980"/>
    <w:rsid w:val="00820DCF"/>
    <w:rsid w:val="00942C38"/>
    <w:rsid w:val="00A63CB0"/>
    <w:rsid w:val="00B72257"/>
    <w:rsid w:val="00B77836"/>
    <w:rsid w:val="00BC3C5A"/>
    <w:rsid w:val="00D518D5"/>
    <w:rsid w:val="00D663CE"/>
    <w:rsid w:val="00F81E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5BCB"/>
  <w15:chartTrackingRefBased/>
  <w15:docId w15:val="{2919BC2E-F809-430F-BE6D-57C57A27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72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72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7225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7225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7225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7225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7225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7225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7225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7225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7225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7225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7225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7225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7225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7225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7225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72257"/>
    <w:rPr>
      <w:rFonts w:eastAsiaTheme="majorEastAsia" w:cstheme="majorBidi"/>
      <w:color w:val="272727" w:themeColor="text1" w:themeTint="D8"/>
    </w:rPr>
  </w:style>
  <w:style w:type="paragraph" w:styleId="Rubrik">
    <w:name w:val="Title"/>
    <w:basedOn w:val="Normal"/>
    <w:next w:val="Normal"/>
    <w:link w:val="RubrikChar"/>
    <w:uiPriority w:val="10"/>
    <w:qFormat/>
    <w:rsid w:val="00B72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7225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7225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7225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7225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72257"/>
    <w:rPr>
      <w:i/>
      <w:iCs/>
      <w:color w:val="404040" w:themeColor="text1" w:themeTint="BF"/>
    </w:rPr>
  </w:style>
  <w:style w:type="paragraph" w:styleId="Liststycke">
    <w:name w:val="List Paragraph"/>
    <w:basedOn w:val="Normal"/>
    <w:uiPriority w:val="34"/>
    <w:qFormat/>
    <w:rsid w:val="00B72257"/>
    <w:pPr>
      <w:ind w:left="720"/>
      <w:contextualSpacing/>
    </w:pPr>
  </w:style>
  <w:style w:type="character" w:styleId="Starkbetoning">
    <w:name w:val="Intense Emphasis"/>
    <w:basedOn w:val="Standardstycketeckensnitt"/>
    <w:uiPriority w:val="21"/>
    <w:qFormat/>
    <w:rsid w:val="00B72257"/>
    <w:rPr>
      <w:i/>
      <w:iCs/>
      <w:color w:val="0F4761" w:themeColor="accent1" w:themeShade="BF"/>
    </w:rPr>
  </w:style>
  <w:style w:type="paragraph" w:styleId="Starktcitat">
    <w:name w:val="Intense Quote"/>
    <w:basedOn w:val="Normal"/>
    <w:next w:val="Normal"/>
    <w:link w:val="StarktcitatChar"/>
    <w:uiPriority w:val="30"/>
    <w:qFormat/>
    <w:rsid w:val="00B72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72257"/>
    <w:rPr>
      <w:i/>
      <w:iCs/>
      <w:color w:val="0F4761" w:themeColor="accent1" w:themeShade="BF"/>
    </w:rPr>
  </w:style>
  <w:style w:type="character" w:styleId="Starkreferens">
    <w:name w:val="Intense Reference"/>
    <w:basedOn w:val="Standardstycketeckensnitt"/>
    <w:uiPriority w:val="32"/>
    <w:qFormat/>
    <w:rsid w:val="00B72257"/>
    <w:rPr>
      <w:b/>
      <w:bCs/>
      <w:smallCaps/>
      <w:color w:val="0F4761" w:themeColor="accent1" w:themeShade="BF"/>
      <w:spacing w:val="5"/>
    </w:rPr>
  </w:style>
  <w:style w:type="paragraph" w:styleId="Sidhuvud">
    <w:name w:val="header"/>
    <w:basedOn w:val="Normal"/>
    <w:link w:val="SidhuvudChar"/>
    <w:uiPriority w:val="99"/>
    <w:unhideWhenUsed/>
    <w:rsid w:val="00B7225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72257"/>
  </w:style>
  <w:style w:type="paragraph" w:styleId="Sidfot">
    <w:name w:val="footer"/>
    <w:basedOn w:val="Normal"/>
    <w:link w:val="SidfotChar"/>
    <w:uiPriority w:val="99"/>
    <w:unhideWhenUsed/>
    <w:rsid w:val="00B7225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72257"/>
  </w:style>
  <w:style w:type="table" w:styleId="Tabellrutnt">
    <w:name w:val="Table Grid"/>
    <w:basedOn w:val="Normaltabell"/>
    <w:uiPriority w:val="39"/>
    <w:rsid w:val="00356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5840">
      <w:bodyDiv w:val="1"/>
      <w:marLeft w:val="0"/>
      <w:marRight w:val="0"/>
      <w:marTop w:val="0"/>
      <w:marBottom w:val="0"/>
      <w:divBdr>
        <w:top w:val="none" w:sz="0" w:space="0" w:color="auto"/>
        <w:left w:val="none" w:sz="0" w:space="0" w:color="auto"/>
        <w:bottom w:val="none" w:sz="0" w:space="0" w:color="auto"/>
        <w:right w:val="none" w:sz="0" w:space="0" w:color="auto"/>
      </w:divBdr>
    </w:div>
    <w:div w:id="404689659">
      <w:bodyDiv w:val="1"/>
      <w:marLeft w:val="0"/>
      <w:marRight w:val="0"/>
      <w:marTop w:val="0"/>
      <w:marBottom w:val="0"/>
      <w:divBdr>
        <w:top w:val="none" w:sz="0" w:space="0" w:color="auto"/>
        <w:left w:val="none" w:sz="0" w:space="0" w:color="auto"/>
        <w:bottom w:val="none" w:sz="0" w:space="0" w:color="auto"/>
        <w:right w:val="none" w:sz="0" w:space="0" w:color="auto"/>
      </w:divBdr>
    </w:div>
    <w:div w:id="408698484">
      <w:bodyDiv w:val="1"/>
      <w:marLeft w:val="0"/>
      <w:marRight w:val="0"/>
      <w:marTop w:val="0"/>
      <w:marBottom w:val="0"/>
      <w:divBdr>
        <w:top w:val="none" w:sz="0" w:space="0" w:color="auto"/>
        <w:left w:val="none" w:sz="0" w:space="0" w:color="auto"/>
        <w:bottom w:val="none" w:sz="0" w:space="0" w:color="auto"/>
        <w:right w:val="none" w:sz="0" w:space="0" w:color="auto"/>
      </w:divBdr>
    </w:div>
    <w:div w:id="1794517043">
      <w:bodyDiv w:val="1"/>
      <w:marLeft w:val="0"/>
      <w:marRight w:val="0"/>
      <w:marTop w:val="0"/>
      <w:marBottom w:val="0"/>
      <w:divBdr>
        <w:top w:val="none" w:sz="0" w:space="0" w:color="auto"/>
        <w:left w:val="none" w:sz="0" w:space="0" w:color="auto"/>
        <w:bottom w:val="none" w:sz="0" w:space="0" w:color="auto"/>
        <w:right w:val="none" w:sz="0" w:space="0" w:color="auto"/>
      </w:divBdr>
    </w:div>
    <w:div w:id="19056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2180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Lundström</dc:creator>
  <cp:keywords/>
  <dc:description/>
  <cp:lastModifiedBy>Susana Meza Graham</cp:lastModifiedBy>
  <cp:revision>2</cp:revision>
  <dcterms:created xsi:type="dcterms:W3CDTF">2024-10-03T14:14:00Z</dcterms:created>
  <dcterms:modified xsi:type="dcterms:W3CDTF">2024-10-03T14:14:00Z</dcterms:modified>
</cp:coreProperties>
</file>